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20" w:lineRule="exact"/>
        <w:ind w:left="0" w:right="0" w:firstLine="645"/>
        <w:textAlignment w:val="auto"/>
        <w:rPr>
          <w:rStyle w:val="7"/>
          <w:rFonts w:hint="default" w:ascii="仿宋_GB2312" w:hAnsi="微软雅黑" w:eastAsia="仿宋_GB2312" w:cs="仿宋_GB2312"/>
          <w:i w:val="0"/>
          <w:caps w:val="0"/>
          <w:color w:val="000000"/>
          <w:spacing w:val="0"/>
          <w:sz w:val="36"/>
          <w:szCs w:val="36"/>
        </w:rPr>
      </w:pPr>
      <w:bookmarkStart w:id="0" w:name="_GoBack"/>
      <w:r>
        <w:rPr>
          <w:rStyle w:val="7"/>
          <w:rFonts w:hint="default" w:ascii="仿宋_GB2312" w:hAnsi="微软雅黑" w:eastAsia="仿宋_GB2312" w:cs="仿宋_GB2312"/>
          <w:i w:val="0"/>
          <w:caps w:val="0"/>
          <w:color w:val="000000"/>
          <w:spacing w:val="0"/>
          <w:sz w:val="36"/>
          <w:szCs w:val="36"/>
        </w:rPr>
        <w:t>附：</w:t>
      </w:r>
      <w:r>
        <w:rPr>
          <w:rStyle w:val="7"/>
          <w:rFonts w:hint="eastAsia" w:ascii="仿宋_GB2312" w:hAnsi="微软雅黑" w:eastAsia="仿宋_GB2312" w:cs="仿宋_GB2312"/>
          <w:i w:val="0"/>
          <w:caps w:val="0"/>
          <w:color w:val="000000"/>
          <w:spacing w:val="0"/>
          <w:sz w:val="36"/>
          <w:szCs w:val="36"/>
          <w:lang w:val="en-US" w:eastAsia="zh-CN"/>
        </w:rPr>
        <w:t>智能配药机</w:t>
      </w:r>
      <w:r>
        <w:rPr>
          <w:rStyle w:val="7"/>
          <w:rFonts w:hint="default" w:ascii="仿宋_GB2312" w:hAnsi="微软雅黑" w:eastAsia="仿宋_GB2312" w:cs="仿宋_GB2312"/>
          <w:i w:val="0"/>
          <w:caps w:val="0"/>
          <w:color w:val="000000"/>
          <w:spacing w:val="0"/>
          <w:sz w:val="36"/>
          <w:szCs w:val="36"/>
        </w:rPr>
        <w:t>要求：</w:t>
      </w:r>
    </w:p>
    <w:bookmarkEnd w:id="0"/>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bCs/>
          <w:i w:val="0"/>
          <w:caps w:val="0"/>
          <w:color w:val="000000"/>
          <w:spacing w:val="0"/>
          <w:kern w:val="0"/>
          <w:sz w:val="28"/>
          <w:szCs w:val="28"/>
          <w:lang w:val="en-US" w:eastAsia="zh-CN" w:bidi="ar"/>
        </w:rPr>
      </w:pPr>
      <w:r>
        <w:rPr>
          <w:rFonts w:hint="eastAsia" w:ascii="仿宋_GB2312" w:hAnsi="微软雅黑" w:eastAsia="仿宋_GB2312" w:cs="仿宋_GB2312"/>
          <w:b/>
          <w:bCs/>
          <w:i w:val="0"/>
          <w:caps w:val="0"/>
          <w:color w:val="000000"/>
          <w:spacing w:val="0"/>
          <w:kern w:val="0"/>
          <w:sz w:val="28"/>
          <w:szCs w:val="28"/>
          <w:lang w:val="en-US" w:eastAsia="zh-CN" w:bidi="ar"/>
        </w:rPr>
        <w:t>一、硬件和技术要求：</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default"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1、 每套药房包含主机 </w:t>
      </w:r>
      <w:r>
        <w:rPr>
          <w:rFonts w:hint="default" w:ascii="仿宋_GB2312" w:hAnsi="微软雅黑" w:eastAsia="仿宋_GB2312" w:cs="仿宋_GB2312"/>
          <w:b w:val="0"/>
          <w:i w:val="0"/>
          <w:caps w:val="0"/>
          <w:color w:val="000000"/>
          <w:spacing w:val="0"/>
          <w:kern w:val="0"/>
          <w:sz w:val="28"/>
          <w:szCs w:val="28"/>
          <w:lang w:val="en-US" w:eastAsia="zh-CN" w:bidi="ar"/>
        </w:rPr>
        <w:t xml:space="preserve">1 </w:t>
      </w:r>
      <w:r>
        <w:rPr>
          <w:rFonts w:hint="eastAsia" w:ascii="仿宋_GB2312" w:hAnsi="微软雅黑" w:eastAsia="仿宋_GB2312" w:cs="仿宋_GB2312"/>
          <w:b w:val="0"/>
          <w:i w:val="0"/>
          <w:caps w:val="0"/>
          <w:color w:val="000000"/>
          <w:spacing w:val="0"/>
          <w:kern w:val="0"/>
          <w:sz w:val="28"/>
          <w:szCs w:val="28"/>
          <w:lang w:val="en-US" w:eastAsia="zh-CN" w:bidi="ar"/>
        </w:rPr>
        <w:t xml:space="preserve">台；药柜≥ </w:t>
      </w:r>
      <w:r>
        <w:rPr>
          <w:rFonts w:hint="default" w:ascii="仿宋_GB2312" w:hAnsi="微软雅黑" w:eastAsia="仿宋_GB2312" w:cs="仿宋_GB2312"/>
          <w:b w:val="0"/>
          <w:i w:val="0"/>
          <w:caps w:val="0"/>
          <w:color w:val="000000"/>
          <w:spacing w:val="0"/>
          <w:kern w:val="0"/>
          <w:sz w:val="28"/>
          <w:szCs w:val="28"/>
          <w:lang w:val="en-US" w:eastAsia="zh-CN" w:bidi="ar"/>
        </w:rPr>
        <w:t>1.5</w:t>
      </w:r>
      <w:r>
        <w:rPr>
          <w:rFonts w:hint="eastAsia" w:ascii="仿宋_GB2312" w:hAnsi="微软雅黑" w:eastAsia="仿宋_GB2312" w:cs="仿宋_GB2312"/>
          <w:b w:val="0"/>
          <w:i w:val="0"/>
          <w:caps w:val="0"/>
          <w:color w:val="000000"/>
          <w:spacing w:val="0"/>
          <w:kern w:val="0"/>
          <w:sz w:val="28"/>
          <w:szCs w:val="28"/>
          <w:lang w:val="en-US" w:eastAsia="zh-CN" w:bidi="ar"/>
        </w:rPr>
        <w:t xml:space="preserve">台；瓶盖≥ </w:t>
      </w:r>
      <w:r>
        <w:rPr>
          <w:rFonts w:hint="default" w:ascii="仿宋_GB2312" w:hAnsi="微软雅黑" w:eastAsia="仿宋_GB2312" w:cs="仿宋_GB2312"/>
          <w:b w:val="0"/>
          <w:i w:val="0"/>
          <w:caps w:val="0"/>
          <w:color w:val="000000"/>
          <w:spacing w:val="0"/>
          <w:kern w:val="0"/>
          <w:sz w:val="28"/>
          <w:szCs w:val="28"/>
          <w:lang w:val="en-US" w:eastAsia="zh-CN" w:bidi="ar"/>
        </w:rPr>
        <w:t xml:space="preserve">312 </w:t>
      </w:r>
      <w:r>
        <w:rPr>
          <w:rFonts w:hint="eastAsia" w:ascii="仿宋_GB2312" w:hAnsi="微软雅黑" w:eastAsia="仿宋_GB2312" w:cs="仿宋_GB2312"/>
          <w:b w:val="0"/>
          <w:i w:val="0"/>
          <w:caps w:val="0"/>
          <w:color w:val="000000"/>
          <w:spacing w:val="0"/>
          <w:kern w:val="0"/>
          <w:sz w:val="28"/>
          <w:szCs w:val="28"/>
          <w:lang w:val="en-US" w:eastAsia="zh-CN" w:bidi="ar"/>
        </w:rPr>
        <w:t xml:space="preserve">个；液晶显示器 </w:t>
      </w:r>
      <w:r>
        <w:rPr>
          <w:rFonts w:hint="default" w:ascii="仿宋_GB2312" w:hAnsi="微软雅黑" w:eastAsia="仿宋_GB2312" w:cs="仿宋_GB2312"/>
          <w:b w:val="0"/>
          <w:i w:val="0"/>
          <w:caps w:val="0"/>
          <w:color w:val="000000"/>
          <w:spacing w:val="0"/>
          <w:kern w:val="0"/>
          <w:sz w:val="28"/>
          <w:szCs w:val="28"/>
          <w:lang w:val="en-US" w:eastAsia="zh-CN" w:bidi="ar"/>
        </w:rPr>
        <w:t xml:space="preserve">1 </w:t>
      </w:r>
      <w:r>
        <w:rPr>
          <w:rFonts w:hint="eastAsia" w:ascii="仿宋_GB2312" w:hAnsi="微软雅黑" w:eastAsia="仿宋_GB2312" w:cs="仿宋_GB2312"/>
          <w:b w:val="0"/>
          <w:i w:val="0"/>
          <w:caps w:val="0"/>
          <w:color w:val="000000"/>
          <w:spacing w:val="0"/>
          <w:kern w:val="0"/>
          <w:sz w:val="28"/>
          <w:szCs w:val="28"/>
          <w:lang w:val="en-US" w:eastAsia="zh-CN" w:bidi="ar"/>
        </w:rPr>
        <w:t>台；无线键盘鼠标套装及触摸屏工控机一台。单台药柜可存放≥ 160味颗粒；其他技术参数符合中国药典标准；</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 国标实施后单瓶装量会变大，各家需提供装药瓶放大的解决方案。</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2、  2、4、6调剂部设备：</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⑴调剂部设备</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1.日均处方处理量不低于40个。</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2.12味药，14袋（盒），调剂速度应在四分钟以内。</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3.袋装容量≥70毫升，可自动分为两袋或盒。</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⑵ 4-6调剂部设备：</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1.单机日处理处方量不低于100个。</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2.调剂单次调剂上限不少于28袋（盒）。</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3.12味药，28袋（盒），调剂速度应在四分钟以内。</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4.袋装容量大于90毫升，或超过90毫升，可自动分为两袋或盒。</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⑶   7-12调剂部设备：</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1.单机日处理处方量不低于120个。</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2.调剂单次调剂上限不少于28袋（盒）。</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3.12味药，28袋（盒），调剂速度应在四分钟以内。</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4.袋装容量大于90毫升，或超过90毫升，可自动分为两袋或盒。</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⑷更多具体技术参数需现场沟通技术标评标。</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bCs/>
          <w:i w:val="0"/>
          <w:caps w:val="0"/>
          <w:color w:val="000000"/>
          <w:spacing w:val="0"/>
          <w:kern w:val="0"/>
          <w:sz w:val="28"/>
          <w:szCs w:val="28"/>
          <w:lang w:val="en-US" w:eastAsia="zh-CN" w:bidi="ar"/>
        </w:rPr>
      </w:pPr>
      <w:r>
        <w:rPr>
          <w:rFonts w:hint="eastAsia" w:ascii="仿宋_GB2312" w:hAnsi="微软雅黑" w:eastAsia="仿宋_GB2312" w:cs="仿宋_GB2312"/>
          <w:b/>
          <w:bCs/>
          <w:i w:val="0"/>
          <w:caps w:val="0"/>
          <w:color w:val="000000"/>
          <w:spacing w:val="0"/>
          <w:kern w:val="0"/>
          <w:sz w:val="28"/>
          <w:szCs w:val="28"/>
          <w:lang w:val="en-US" w:eastAsia="zh-CN" w:bidi="ar"/>
        </w:rPr>
        <w:t>二、售后及服务</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1、 货物质保期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⑴ 设备整机到达指定地点后，需提供安装调试及培训服务。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⑵ 保修期后,仍将继续为用户提供完善与及时的技术支持和售后服务。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⑶ 采用多级技术响应方式并提供技术支持热线。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⑷ 免费提供软件升级。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2、  包装及运输、指导安装及培训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⑴  卖方提供的全部货物的包装适应于长途运输、防潮、防震和经受合理装卸，确保货物安全无损运抵达现场。由于包装不善或运输过程中所引起的货物损坏和损失由卖方负责调换并承担费用。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⑵  卖方负责免费进行设备的指导、安装、调试及培训服务。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⑶ 卖方提供安装计划给需方认可，需方应配合卖方进行安装调试前的准备工作。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⑷ 卖方将派具有多年工作经验的工程师到现场负责测试和调试。安装调试中对用户进行 免费技术培训（操作、电器维修等），提交测试和调试方法及记录表格给需方以检测 其设计、制造、运行效果等，并提供所有测试和调试所需的工具、材料、仪器及成套培训资料。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⑸ 培训能使买方技术人员掌握设备操作技术，保证设备正常运行并能较为熟练地排除设备的一般故障。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3、  技术服务和技术支持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⑴ 提供及时、迅速、优质的服务：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1） 售后服务工程师接到客户设备运行情况报告，及时分析、判断，并在 1~2 小时内提出解决方案。客户不能自行解决的，视情况24小时内到达客户所在地；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2） 特殊或工艺相关联的技术支持，由经验丰富专业工程师到现场解决；公用设备的技术支持，由卖方公司负责协调供货商限时到达客户所在地；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⑵ 为用户提供专利许可及专有技术的使用权、基础工程 设计和所有技术文件，并且从工艺角度审查买方提供的详细资料，负责及时提供设备 使用和维护技术方面的信息和技术资料。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4、．卖方负责提供：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1） 为满足设备性能所必须的足够的备品备件。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2） 提供保质期内所必需的零备件及易损件。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3） 提供设备、安装、调试、维护、操作所必备的专用量具、工具。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4） 提供便于设备安装、使用的其它附属装置。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4．在设备质保期内，如设备损坏，卖方将免费迅速派员及时解决（在双方约定的时间内），包括免费更换、 配齐有关备品配件。 </w:t>
      </w:r>
    </w:p>
    <w:p>
      <w:pPr>
        <w:pStyle w:val="3"/>
        <w:keepNext w:val="0"/>
        <w:keepLines w:val="0"/>
        <w:pageBreakBefore w:val="0"/>
        <w:kinsoku/>
        <w:wordWrap/>
        <w:overflowPunct/>
        <w:topLinePunct w:val="0"/>
        <w:autoSpaceDE/>
        <w:autoSpaceDN/>
        <w:bidi w:val="0"/>
        <w:adjustRightInd w:val="0"/>
        <w:snapToGrid w:val="0"/>
        <w:spacing w:after="0" w:line="42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r>
        <w:rPr>
          <w:rFonts w:hint="eastAsia" w:ascii="仿宋_GB2312" w:hAnsi="微软雅黑" w:eastAsia="仿宋_GB2312" w:cs="仿宋_GB2312"/>
          <w:b w:val="0"/>
          <w:i w:val="0"/>
          <w:caps w:val="0"/>
          <w:color w:val="000000"/>
          <w:spacing w:val="0"/>
          <w:kern w:val="0"/>
          <w:sz w:val="28"/>
          <w:szCs w:val="28"/>
          <w:lang w:val="en-US" w:eastAsia="zh-CN" w:bidi="ar"/>
        </w:rPr>
        <w:t xml:space="preserve">5．设备交付使用后，我公司将不定期对用户进行电话回访或上门回访工作，及时了解设备运行情况，有效解答设备使用过程中的疑问，并提出相应需要改进的维护、保养建 议，以保证设备长期正常工作。 </w:t>
      </w:r>
    </w:p>
    <w:p>
      <w:pPr>
        <w:pStyle w:val="3"/>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仿宋_GB2312" w:hAnsi="微软雅黑" w:eastAsia="仿宋_GB2312" w:cs="仿宋_GB2312"/>
          <w:b w:val="0"/>
          <w:i w:val="0"/>
          <w:caps w:val="0"/>
          <w:color w:val="000000"/>
          <w:spacing w:val="0"/>
          <w:kern w:val="0"/>
          <w:sz w:val="28"/>
          <w:szCs w:val="28"/>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F5CF8"/>
    <w:rsid w:val="18EF5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te Heading"/>
    <w:basedOn w:val="1"/>
    <w:next w:val="1"/>
    <w:unhideWhenUsed/>
    <w:qFormat/>
    <w:uiPriority w:val="99"/>
    <w:pPr>
      <w:jc w:val="center"/>
    </w:pPr>
  </w:style>
  <w:style w:type="paragraph" w:styleId="3">
    <w:name w:val="Body Text 2"/>
    <w:basedOn w:val="1"/>
    <w:qFormat/>
    <w:uiPriority w:val="0"/>
    <w:pPr>
      <w:spacing w:after="120" w:line="480" w:lineRule="auto"/>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2022-08-05T05:41:00Z</dcterms:created>
  <dc:creator>BCLS_</dc:creator>
  <cp:lastModifiedBy>BCLS_</cp:lastModifiedBy>
  <dcterms:modified xsi:type="dcterms:W3CDTF">2022-08-05T06:11:51Z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